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tabs>
          <w:tab w:val="left" w:leader="none" w:pos="1440"/>
        </w:tabs>
        <w:ind w:left="36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Enligt punkt 9, Protokoll årsmötet 2022 6/2, tog mötet beslut om: </w:t>
      </w:r>
    </w:p>
    <w:p w:rsidR="00000000" w:rsidDel="00000000" w:rsidP="00000000" w:rsidRDefault="00000000" w:rsidRPr="00000000" w14:paraId="00000002">
      <w:pPr>
        <w:widowControl w:val="0"/>
        <w:tabs>
          <w:tab w:val="left" w:leader="none" w:pos="1440"/>
        </w:tabs>
        <w:ind w:left="36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att </w:t>
      </w:r>
      <w:r w:rsidDel="00000000" w:rsidR="00000000" w:rsidRPr="00000000">
        <w:rPr>
          <w:rFonts w:ascii="Times New Roman" w:cs="Times New Roman" w:eastAsia="Times New Roman" w:hAnsi="Times New Roman"/>
          <w:sz w:val="24"/>
          <w:szCs w:val="24"/>
          <w:rtl w:val="0"/>
        </w:rPr>
        <w:t xml:space="preserve">styrelsen ska skriva en likabehandlingsplan och en likabehandlingspolicy som ska börja användas under verksamhetsåret, vilka sedan ska utvärderas och sedan presenteras på årsmötet 2023</w:t>
      </w:r>
      <w:r w:rsidDel="00000000" w:rsidR="00000000" w:rsidRPr="00000000">
        <w:rPr>
          <w:rtl w:val="0"/>
        </w:rPr>
      </w:r>
    </w:p>
    <w:p w:rsidR="00000000" w:rsidDel="00000000" w:rsidP="00000000" w:rsidRDefault="00000000" w:rsidRPr="00000000" w14:paraId="00000003">
      <w:pPr>
        <w:spacing w:line="360" w:lineRule="auto"/>
        <w:rPr>
          <w:rFonts w:ascii="Times New Roman" w:cs="Times New Roman" w:eastAsia="Times New Roman" w:hAnsi="Times New Roman"/>
          <w:b w:val="1"/>
          <w:sz w:val="36"/>
          <w:szCs w:val="36"/>
          <w:highlight w:val="white"/>
          <w:u w:val="single"/>
        </w:rPr>
      </w:pPr>
      <w:r w:rsidDel="00000000" w:rsidR="00000000" w:rsidRPr="00000000">
        <w:rPr>
          <w:rtl w:val="0"/>
        </w:rPr>
      </w:r>
    </w:p>
    <w:p w:rsidR="00000000" w:rsidDel="00000000" w:rsidP="00000000" w:rsidRDefault="00000000" w:rsidRPr="00000000" w14:paraId="00000004">
      <w:pPr>
        <w:spacing w:line="360" w:lineRule="auto"/>
        <w:rPr>
          <w:rFonts w:ascii="Times New Roman" w:cs="Times New Roman" w:eastAsia="Times New Roman" w:hAnsi="Times New Roman"/>
          <w:b w:val="1"/>
          <w:sz w:val="36"/>
          <w:szCs w:val="36"/>
          <w:highlight w:val="white"/>
          <w:u w:val="single"/>
        </w:rPr>
      </w:pPr>
      <w:r w:rsidDel="00000000" w:rsidR="00000000" w:rsidRPr="00000000">
        <w:rPr>
          <w:rFonts w:ascii="Times New Roman" w:cs="Times New Roman" w:eastAsia="Times New Roman" w:hAnsi="Times New Roman"/>
          <w:b w:val="1"/>
          <w:sz w:val="36"/>
          <w:szCs w:val="36"/>
          <w:highlight w:val="white"/>
          <w:u w:val="single"/>
          <w:rtl w:val="0"/>
        </w:rPr>
        <w:t xml:space="preserve">Alkoholhets</w:t>
      </w:r>
    </w:p>
    <w:p w:rsidR="00000000" w:rsidDel="00000000" w:rsidP="00000000" w:rsidRDefault="00000000" w:rsidRPr="00000000" w14:paraId="00000005">
      <w:pPr>
        <w:spacing w:line="36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Frågor om alkoholhets ska förtydligas i personalgruppen. Vad räknas som alkoholhets? Vad får och får inte personalen göra.</w:t>
      </w:r>
    </w:p>
    <w:p w:rsidR="00000000" w:rsidDel="00000000" w:rsidP="00000000" w:rsidRDefault="00000000" w:rsidRPr="00000000" w14:paraId="00000006">
      <w:pPr>
        <w:spacing w:line="36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7">
      <w:pPr>
        <w:spacing w:line="36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Som alkoholhets räknas allt beteende som uppmanar till intag av alkohol. Bunkern ska förebygga oönskat intag av alkoholhaltiga drycker. Detta omfattar men är inte begränsat till:</w:t>
      </w:r>
    </w:p>
    <w:p w:rsidR="00000000" w:rsidDel="00000000" w:rsidP="00000000" w:rsidRDefault="00000000" w:rsidRPr="00000000" w14:paraId="00000008">
      <w:pPr>
        <w:spacing w:line="36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9">
      <w:pPr>
        <w:numPr>
          <w:ilvl w:val="0"/>
          <w:numId w:val="1"/>
        </w:numPr>
        <w:spacing w:line="36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Barpersonalen bör aldrig föreslå alkoholhaltig dryck som första alternativ till en gäst, utan istället erbjuda alkoholfri dryck eller generellt bara dryck. Personalen kan hursomhelst besvara frågor och rekommendera alkoholhaltiga drycker om kunden har uttryckt önskemål om sådan.</w:t>
      </w:r>
    </w:p>
    <w:p w:rsidR="00000000" w:rsidDel="00000000" w:rsidP="00000000" w:rsidRDefault="00000000" w:rsidRPr="00000000" w14:paraId="0000000A">
      <w:pPr>
        <w:numPr>
          <w:ilvl w:val="1"/>
          <w:numId w:val="1"/>
        </w:numPr>
        <w:spacing w:line="360" w:lineRule="auto"/>
        <w:ind w:left="144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8 kap. 21 § 3 m. Alkohollagen (2010:1622) säger: </w:t>
      </w:r>
      <w:r w:rsidDel="00000000" w:rsidR="00000000" w:rsidRPr="00000000">
        <w:rPr>
          <w:rFonts w:ascii="Times New Roman" w:cs="Times New Roman" w:eastAsia="Times New Roman" w:hAnsi="Times New Roman"/>
          <w:i w:val="1"/>
          <w:sz w:val="24"/>
          <w:szCs w:val="24"/>
          <w:highlight w:val="white"/>
          <w:rtl w:val="0"/>
        </w:rPr>
        <w:t xml:space="preserve">Gästerna får inte uppmanas eller förmås att köpa alkoholdrycker eller alkoholdrycksliknande preparat.</w:t>
      </w:r>
    </w:p>
    <w:p w:rsidR="00000000" w:rsidDel="00000000" w:rsidP="00000000" w:rsidRDefault="00000000" w:rsidRPr="00000000" w14:paraId="0000000B">
      <w:pPr>
        <w:spacing w:line="360" w:lineRule="auto"/>
        <w:ind w:left="720"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C">
      <w:pPr>
        <w:numPr>
          <w:ilvl w:val="0"/>
          <w:numId w:val="1"/>
        </w:numPr>
        <w:spacing w:line="36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Personalen ska under arbetspasset inte sjunga med, dansa eller på något sätt uppmuntra till dryckesvisor, som exempelvis Lambo. </w:t>
      </w:r>
      <w:commentRangeStart w:id="0"/>
      <w:r w:rsidDel="00000000" w:rsidR="00000000" w:rsidRPr="00000000">
        <w:rPr>
          <w:rFonts w:ascii="Times New Roman" w:cs="Times New Roman" w:eastAsia="Times New Roman" w:hAnsi="Times New Roman"/>
          <w:sz w:val="24"/>
          <w:szCs w:val="24"/>
          <w:highlight w:val="white"/>
          <w:rtl w:val="0"/>
        </w:rPr>
        <w:t xml:space="preserve">Detta gäller även personal som efter att ha arbetat ett halvt pass väljer att stanna kvar som gäst då de av gäster fortfarande kan uppfattas som personal.</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0D">
      <w:pPr>
        <w:numPr>
          <w:ilvl w:val="1"/>
          <w:numId w:val="1"/>
        </w:numPr>
        <w:spacing w:line="360" w:lineRule="auto"/>
        <w:ind w:left="144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8 kap. 20 § Alkohollagen (2010:1622) säger: </w:t>
      </w:r>
      <w:r w:rsidDel="00000000" w:rsidR="00000000" w:rsidRPr="00000000">
        <w:rPr>
          <w:rFonts w:ascii="Times New Roman" w:cs="Times New Roman" w:eastAsia="Times New Roman" w:hAnsi="Times New Roman"/>
          <w:i w:val="1"/>
          <w:sz w:val="24"/>
          <w:szCs w:val="24"/>
          <w:highlight w:val="white"/>
          <w:rtl w:val="0"/>
        </w:rPr>
        <w:t xml:space="preserve">Vid servering av alkoholdrycker eller alkoholdrycksliknande preparat ska ansvarig personal se till att måttfullhet iakttas och att störningar på grund av oordning eller onykterhet undviks.</w:t>
      </w:r>
    </w:p>
    <w:p w:rsidR="00000000" w:rsidDel="00000000" w:rsidP="00000000" w:rsidRDefault="00000000" w:rsidRPr="00000000" w14:paraId="0000000E">
      <w:pPr>
        <w:rPr/>
      </w:pPr>
      <w:r w:rsidDel="00000000" w:rsidR="00000000" w:rsidRPr="00000000">
        <w:rPr>
          <w:rtl w:val="0"/>
        </w:rPr>
      </w:r>
    </w:p>
    <w:sectPr>
      <w:pgSz w:h="16834" w:w="11909"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Sam Björklund (Emelie)" w:id="0" w:date="2023-02-19T14:50:36Z">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 bort denna mening</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sv"/>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